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0F0" w:rsidRPr="007270F0" w:rsidRDefault="007270F0" w:rsidP="007270F0">
      <w:pPr>
        <w:spacing w:after="240"/>
        <w:ind w:firstLineChars="0" w:firstLine="0"/>
        <w:jc w:val="both"/>
        <w:rPr>
          <w:rFonts w:ascii="Arial" w:eastAsia="바탕" w:hAnsi="Arial" w:cs="Arial" w:hint="eastAsia"/>
          <w:b/>
          <w:sz w:val="22"/>
          <w:szCs w:val="22"/>
          <w:lang w:eastAsia="ko-KR"/>
        </w:rPr>
      </w:pPr>
      <w:r>
        <w:rPr>
          <w:rFonts w:ascii="Arial" w:eastAsia="바탕" w:hAnsi="Arial" w:cs="Arial" w:hint="eastAsia"/>
          <w:b/>
          <w:sz w:val="22"/>
          <w:szCs w:val="22"/>
          <w:lang w:eastAsia="ko-KR"/>
        </w:rPr>
        <w:t>[</w:t>
      </w:r>
      <w:proofErr w:type="spellStart"/>
      <w:r w:rsidRPr="00666687">
        <w:rPr>
          <w:rFonts w:ascii="Arial" w:eastAsia="바탕" w:hAnsi="Arial" w:cs="Arial"/>
          <w:b/>
          <w:sz w:val="22"/>
          <w:szCs w:val="22"/>
          <w:lang w:eastAsia="ko-KR"/>
        </w:rPr>
        <w:t>포사맥스</w:t>
      </w:r>
      <w:proofErr w:type="spellEnd"/>
      <w:r w:rsidRPr="00666687">
        <w:rPr>
          <w:rFonts w:ascii="Arial" w:eastAsia="바탕" w:hAnsi="Arial" w:cs="Arial" w:hint="eastAsia"/>
          <w:b/>
          <w:sz w:val="22"/>
          <w:szCs w:val="22"/>
          <w:lang w:eastAsia="ko-KR"/>
        </w:rPr>
        <w:t xml:space="preserve"> </w:t>
      </w:r>
      <w:proofErr w:type="gramStart"/>
      <w:r w:rsidRPr="00666687">
        <w:rPr>
          <w:rFonts w:ascii="Arial" w:eastAsia="바탕" w:hAnsi="Arial" w:cs="Arial" w:hint="eastAsia"/>
          <w:b/>
          <w:sz w:val="22"/>
          <w:szCs w:val="22"/>
          <w:lang w:eastAsia="ko-KR"/>
        </w:rPr>
        <w:t xml:space="preserve">70mg </w:t>
      </w:r>
      <w:r w:rsidRPr="00666687">
        <w:rPr>
          <w:rFonts w:ascii="Arial" w:eastAsia="바탕" w:hAnsi="Arial" w:cs="Arial" w:hint="eastAsia"/>
          <w:b/>
          <w:sz w:val="22"/>
          <w:szCs w:val="22"/>
          <w:vertAlign w:val="superscript"/>
          <w:lang w:eastAsia="ko-KR"/>
        </w:rPr>
        <w:t xml:space="preserve"> </w:t>
      </w:r>
      <w:r w:rsidRPr="00666687">
        <w:rPr>
          <w:rFonts w:ascii="Arial" w:eastAsia="바탕" w:hAnsi="Arial" w:cs="Arial"/>
          <w:b/>
          <w:sz w:val="22"/>
          <w:szCs w:val="22"/>
        </w:rPr>
        <w:t>주요</w:t>
      </w:r>
      <w:proofErr w:type="gramEnd"/>
      <w:r w:rsidRPr="00666687">
        <w:rPr>
          <w:rFonts w:ascii="Arial" w:eastAsia="바탕" w:hAnsi="Arial" w:cs="Arial"/>
          <w:b/>
          <w:sz w:val="22"/>
          <w:szCs w:val="22"/>
        </w:rPr>
        <w:t xml:space="preserve"> </w:t>
      </w:r>
      <w:r w:rsidRPr="00666687">
        <w:rPr>
          <w:rFonts w:ascii="Arial" w:eastAsia="바탕" w:hAnsi="Arial" w:cs="Arial"/>
          <w:b/>
          <w:sz w:val="22"/>
          <w:szCs w:val="22"/>
        </w:rPr>
        <w:t>안전성</w:t>
      </w:r>
      <w:r w:rsidRPr="00666687">
        <w:rPr>
          <w:rFonts w:ascii="Arial" w:eastAsia="바탕" w:hAnsi="Arial" w:cs="Arial"/>
          <w:b/>
          <w:sz w:val="22"/>
          <w:szCs w:val="22"/>
        </w:rPr>
        <w:t xml:space="preserve"> </w:t>
      </w:r>
      <w:r w:rsidRPr="00666687">
        <w:rPr>
          <w:rFonts w:ascii="Arial" w:eastAsia="바탕" w:hAnsi="Arial" w:cs="Arial"/>
          <w:b/>
          <w:sz w:val="22"/>
          <w:szCs w:val="22"/>
        </w:rPr>
        <w:t>정보</w:t>
      </w:r>
      <w:r>
        <w:rPr>
          <w:rFonts w:ascii="Arial" w:eastAsia="바탕" w:hAnsi="Arial" w:cs="Arial" w:hint="eastAsia"/>
          <w:b/>
          <w:sz w:val="22"/>
          <w:szCs w:val="22"/>
          <w:lang w:eastAsia="ko-KR"/>
        </w:rPr>
        <w:t>]</w:t>
      </w:r>
    </w:p>
    <w:p w:rsidR="007270F0" w:rsidRPr="00666687" w:rsidRDefault="007270F0" w:rsidP="007270F0">
      <w:pPr>
        <w:spacing w:after="240"/>
        <w:ind w:firstLineChars="0" w:firstLine="0"/>
        <w:jc w:val="both"/>
        <w:rPr>
          <w:rFonts w:ascii="Arial" w:eastAsia="바탕" w:hAnsi="Arial" w:cs="Arial" w:hint="eastAsia"/>
          <w:sz w:val="22"/>
          <w:szCs w:val="22"/>
          <w:lang w:eastAsia="ko-KR"/>
        </w:rPr>
      </w:pP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[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효능·효과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] 1. </w:t>
      </w:r>
      <w:proofErr w:type="spellStart"/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폐경</w:t>
      </w:r>
      <w:proofErr w:type="spellEnd"/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후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여성의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골다공증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치료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2.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남성의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골다공증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치료</w:t>
      </w:r>
    </w:p>
    <w:p w:rsidR="007270F0" w:rsidRPr="007270F0" w:rsidRDefault="007270F0" w:rsidP="007270F0">
      <w:pPr>
        <w:spacing w:after="240"/>
        <w:ind w:firstLineChars="0" w:firstLine="0"/>
        <w:jc w:val="both"/>
        <w:rPr>
          <w:rFonts w:ascii="Arial" w:eastAsia="바탕" w:hAnsi="Arial" w:cs="Arial"/>
          <w:sz w:val="22"/>
          <w:szCs w:val="22"/>
          <w:lang w:eastAsia="ko-KR"/>
        </w:rPr>
      </w:pP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[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용법·용량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] 1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주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1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회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1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정을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아침에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음식물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,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음료수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또는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다른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약물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섭취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최소한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30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분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전에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충분한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양의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물과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함께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복용한다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.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광천수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,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보리차를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포함한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다른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음료나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음식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,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약물은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proofErr w:type="spellStart"/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알렌드로네이트의</w:t>
      </w:r>
      <w:proofErr w:type="spellEnd"/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흡수를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저하시킬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수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있다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.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아침에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일어나자마자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복용하여야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하며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약물을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위로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신속히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도달시켜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식도자극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가능성을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감소시키기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위해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충분한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양의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물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(170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∼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230 m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l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>)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로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삼켜야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한다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.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복용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후에는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적어도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30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분간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그리고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최초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음식물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섭취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후까지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누워서는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안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된다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>.</w:t>
      </w:r>
    </w:p>
    <w:p w:rsidR="007270F0" w:rsidRPr="00666687" w:rsidRDefault="007270F0" w:rsidP="007270F0">
      <w:pPr>
        <w:ind w:firstLineChars="0" w:firstLine="0"/>
        <w:jc w:val="both"/>
        <w:rPr>
          <w:rFonts w:ascii="Arial" w:eastAsia="바탕" w:hAnsi="Arial" w:cs="Arial"/>
          <w:sz w:val="22"/>
          <w:szCs w:val="22"/>
          <w:lang w:eastAsia="ko-KR"/>
        </w:rPr>
      </w:pP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[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사용상의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주의사항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] </w:t>
      </w:r>
      <w:r w:rsidRPr="00666687">
        <w:rPr>
          <w:rFonts w:ascii="맑은 고딕" w:eastAsia="맑은 고딕" w:hAnsi="맑은 고딕" w:cs="Arial" w:hint="eastAsia"/>
          <w:sz w:val="22"/>
          <w:szCs w:val="22"/>
          <w:lang w:eastAsia="ko-KR"/>
        </w:rPr>
        <w:t>〮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proofErr w:type="spellStart"/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포사맥스를</w:t>
      </w:r>
      <w:proofErr w:type="spellEnd"/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proofErr w:type="spellStart"/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투여받은</w:t>
      </w:r>
      <w:proofErr w:type="spellEnd"/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환자에서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때때로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출혈과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함께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proofErr w:type="spellStart"/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식도염</w:t>
      </w:r>
      <w:proofErr w:type="spellEnd"/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,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식도궤양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, </w:t>
      </w:r>
      <w:proofErr w:type="spellStart"/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식도미란과</w:t>
      </w:r>
      <w:proofErr w:type="spellEnd"/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같은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식도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이상반응이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보고된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바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있으며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,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드물게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식도폐색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또는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천공으로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발전하였다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. </w:t>
      </w:r>
      <w:r w:rsidRPr="00666687">
        <w:rPr>
          <w:rFonts w:ascii="맑은 고딕" w:eastAsia="맑은 고딕" w:hAnsi="맑은 고딕" w:cs="Arial" w:hint="eastAsia"/>
          <w:sz w:val="22"/>
          <w:szCs w:val="22"/>
          <w:lang w:eastAsia="ko-KR"/>
        </w:rPr>
        <w:t>〮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proofErr w:type="spellStart"/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포사맥스는</w:t>
      </w:r>
      <w:proofErr w:type="spellEnd"/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다음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환자에는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투여하지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말아야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한다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. 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1)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식도협착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또는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proofErr w:type="spellStart"/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무이완증과</w:t>
      </w:r>
      <w:proofErr w:type="spellEnd"/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같이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식도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배출을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지연시키는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식도이상</w:t>
      </w:r>
      <w:bookmarkStart w:id="0" w:name="_GoBack"/>
      <w:bookmarkEnd w:id="0"/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환자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, 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2)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적어도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30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분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동안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똑바로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앉거나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서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있을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수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없는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환자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,</w:t>
      </w:r>
    </w:p>
    <w:p w:rsidR="007270F0" w:rsidRPr="00666687" w:rsidRDefault="007270F0" w:rsidP="007270F0">
      <w:pPr>
        <w:ind w:firstLineChars="0" w:firstLine="0"/>
        <w:jc w:val="both"/>
        <w:rPr>
          <w:rFonts w:ascii="Arial" w:eastAsia="바탕" w:hAnsi="Arial" w:cs="Arial" w:hint="eastAsia"/>
          <w:sz w:val="22"/>
          <w:szCs w:val="22"/>
          <w:lang w:eastAsia="ko-KR"/>
        </w:rPr>
      </w:pP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3) </w:t>
      </w:r>
      <w:proofErr w:type="spellStart"/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포사맥스의</w:t>
      </w:r>
      <w:proofErr w:type="spellEnd"/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성분에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과민증인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환자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, 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4) </w:t>
      </w:r>
      <w:proofErr w:type="spellStart"/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저칼슘혈증</w:t>
      </w:r>
      <w:proofErr w:type="spellEnd"/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환자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, 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5)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유당을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함유하고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있으므로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,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관련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유전적인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문제가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있는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환자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.</w:t>
      </w:r>
    </w:p>
    <w:p w:rsidR="007270F0" w:rsidRPr="005028D4" w:rsidRDefault="007270F0" w:rsidP="007270F0">
      <w:pPr>
        <w:ind w:firstLineChars="0" w:firstLine="0"/>
        <w:jc w:val="both"/>
        <w:rPr>
          <w:rFonts w:ascii="Arial" w:eastAsia="바탕" w:hAnsi="Arial" w:cs="Arial"/>
          <w:sz w:val="22"/>
          <w:szCs w:val="22"/>
          <w:lang w:eastAsia="ko-KR"/>
        </w:rPr>
      </w:pP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[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이상반응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] </w:t>
      </w:r>
      <w:r w:rsidRPr="00666687">
        <w:rPr>
          <w:rFonts w:ascii="맑은 고딕" w:eastAsia="맑은 고딕" w:hAnsi="맑은 고딕" w:cs="Arial" w:hint="eastAsia"/>
          <w:sz w:val="22"/>
          <w:szCs w:val="22"/>
          <w:lang w:eastAsia="ko-KR"/>
        </w:rPr>
        <w:t>〮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proofErr w:type="spellStart"/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폐경</w:t>
      </w:r>
      <w:proofErr w:type="spellEnd"/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후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여성을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대상으로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실시한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골다공증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치료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임상시험에서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연구자가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proofErr w:type="spellStart"/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포사맥스</w:t>
      </w:r>
      <w:proofErr w:type="spellEnd"/>
      <w:r w:rsidRPr="00666687">
        <w:rPr>
          <w:rFonts w:ascii="맑은 고딕" w:eastAsia="맑은 고딕" w:hAnsi="맑은 고딕" w:cs="Arial" w:hint="eastAsia"/>
          <w:sz w:val="22"/>
          <w:szCs w:val="22"/>
          <w:vertAlign w:val="superscript"/>
          <w:lang w:eastAsia="ko-KR"/>
        </w:rPr>
        <w:t>®</w:t>
      </w:r>
      <w:r w:rsidRPr="00666687">
        <w:rPr>
          <w:rFonts w:ascii="Arial" w:eastAsia="바탕" w:hAnsi="Arial" w:cs="Arial" w:hint="eastAsia"/>
          <w:sz w:val="22"/>
          <w:szCs w:val="22"/>
          <w:vertAlign w:val="superscript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10mg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과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관련이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있을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가능성이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있거나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,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상당히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관련이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있거나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,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또는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명확한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관련이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있는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것으로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판단하고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proofErr w:type="spellStart"/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위약군보다</w:t>
      </w:r>
      <w:proofErr w:type="spellEnd"/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높은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비율로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1%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이상의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환자에서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보고된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상부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위장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관계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이상반응은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다음과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같다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.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복통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(6.6% vs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위약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4.8%),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소화불량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(3.6% vs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위약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3.5%),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식도궤양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(1.5% vs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위약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0.0%),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연하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곤란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(1.0% vs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위약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0.0%),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복부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팽만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(1.0% vs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위약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0.8%).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추가로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proofErr w:type="spellStart"/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폐경</w:t>
      </w:r>
      <w:proofErr w:type="spellEnd"/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후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여성을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대상으로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실시한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골다공증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치료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임상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시험에서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연구자가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proofErr w:type="spellStart"/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포사맥스</w:t>
      </w:r>
      <w:proofErr w:type="spellEnd"/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10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>mg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>과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관련이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있을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가능성이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있거나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,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상당히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관련이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있거나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,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또는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명확한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관련이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있는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것으로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판단하고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proofErr w:type="spellStart"/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위약군보다</w:t>
      </w:r>
      <w:proofErr w:type="spellEnd"/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높은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비율로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1%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이상의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환자에서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보고된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이상반응은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다음과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같다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.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변비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(3.1% vs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위약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1.8%), 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>설사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(3.1% vs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위약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1.8%),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방귀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(2.6% vs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위약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0.5%), </w:t>
      </w:r>
      <w:proofErr w:type="spellStart"/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근골격</w:t>
      </w:r>
      <w:proofErr w:type="spellEnd"/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(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골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,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근육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,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또는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관절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)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통증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(4.1% vs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위약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2.5%),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두통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(2.6% vs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위약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1.5%)  </w:t>
      </w:r>
      <w:r w:rsidRPr="00666687">
        <w:rPr>
          <w:rFonts w:ascii="맑은 고딕" w:eastAsia="맑은 고딕" w:hAnsi="맑은 고딕" w:cs="Arial" w:hint="eastAsia"/>
          <w:sz w:val="22"/>
          <w:szCs w:val="22"/>
          <w:lang w:eastAsia="ko-KR"/>
        </w:rPr>
        <w:t>〮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/>
          <w:sz w:val="22"/>
          <w:szCs w:val="22"/>
          <w:lang w:eastAsia="ko-KR"/>
        </w:rPr>
        <w:t>경구용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proofErr w:type="spellStart"/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비스포스포네이트제제</w:t>
      </w:r>
      <w:proofErr w:type="spellEnd"/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투여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시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국소적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턱뼈괴사가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드물게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보고되었다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.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이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증상은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일반적으로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발치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및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/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또는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치료가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지연된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국소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감염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(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골수염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포함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)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과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연관성이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있었다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.  </w:t>
      </w:r>
      <w:r w:rsidRPr="00666687">
        <w:rPr>
          <w:rFonts w:ascii="맑은 고딕" w:eastAsia="맑은 고딕" w:hAnsi="맑은 고딕" w:cs="Arial" w:hint="eastAsia"/>
          <w:sz w:val="22"/>
          <w:szCs w:val="22"/>
          <w:lang w:eastAsia="ko-KR"/>
        </w:rPr>
        <w:t>〮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시판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후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조사에서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,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중증이면서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때때로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활동을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할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수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없을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정도의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골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,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관절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및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/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또는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근육의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lastRenderedPageBreak/>
        <w:t>통증이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골다공증의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예방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및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치료를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위해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승인된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proofErr w:type="spellStart"/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비스포스포네이트계</w:t>
      </w:r>
      <w:proofErr w:type="spellEnd"/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약물을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복용하는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환자에서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드물게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보고되었다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. </w:t>
      </w:r>
      <w:r w:rsidRPr="00666687">
        <w:rPr>
          <w:rFonts w:ascii="맑은 고딕" w:eastAsia="맑은 고딕" w:hAnsi="맑은 고딕" w:cs="Arial" w:hint="eastAsia"/>
          <w:sz w:val="22"/>
          <w:szCs w:val="22"/>
          <w:lang w:eastAsia="ko-KR"/>
        </w:rPr>
        <w:t>〮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장기간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(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일반적으로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3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년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이상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) </w:t>
      </w:r>
      <w:proofErr w:type="spellStart"/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비스포스포네이트를</w:t>
      </w:r>
      <w:proofErr w:type="spellEnd"/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투여한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환자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중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일부에서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proofErr w:type="spellStart"/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전자하</w:t>
      </w:r>
      <w:proofErr w:type="spellEnd"/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및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근위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proofErr w:type="spellStart"/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대퇴골체의</w:t>
      </w:r>
      <w:proofErr w:type="spellEnd"/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proofErr w:type="spellStart"/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저강도</w:t>
      </w:r>
      <w:proofErr w:type="spellEnd"/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골절이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>보고되었다</w:t>
      </w:r>
      <w:r w:rsidRPr="00666687">
        <w:rPr>
          <w:rFonts w:ascii="Arial" w:eastAsia="바탕" w:hAnsi="Arial" w:cs="Arial" w:hint="eastAsia"/>
          <w:sz w:val="22"/>
          <w:szCs w:val="22"/>
          <w:lang w:eastAsia="ko-KR"/>
        </w:rPr>
        <w:t xml:space="preserve">. </w:t>
      </w:r>
      <w:r w:rsidRPr="00666687">
        <w:rPr>
          <w:rFonts w:ascii="맑은 고딕" w:eastAsia="맑은 고딕" w:hAnsi="맑은 고딕" w:cs="Arial" w:hint="eastAsia"/>
          <w:sz w:val="22"/>
          <w:szCs w:val="22"/>
          <w:lang w:eastAsia="ko-KR"/>
        </w:rPr>
        <w:t>〮</w:t>
      </w:r>
      <w:r>
        <w:rPr>
          <w:rFonts w:ascii="맑은 고딕" w:eastAsia="맑은 고딕" w:hAnsi="맑은 고딕" w:cs="Arial" w:hint="eastAsia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임부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, </w:t>
      </w:r>
      <w:proofErr w:type="spellStart"/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수유부</w:t>
      </w:r>
      <w:proofErr w:type="spellEnd"/>
      <w:r w:rsidRPr="005028D4">
        <w:rPr>
          <w:rFonts w:ascii="Arial" w:hAnsi="Arial" w:cs="Arial"/>
          <w:sz w:val="22"/>
          <w:szCs w:val="22"/>
          <w:lang w:eastAsia="ko-KR"/>
        </w:rPr>
        <w:t xml:space="preserve">,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소아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,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고령자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및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proofErr w:type="spellStart"/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신장애</w:t>
      </w:r>
      <w:proofErr w:type="spellEnd"/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환자에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대한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투여</w:t>
      </w:r>
      <w:r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1)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임부에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대한</w:t>
      </w:r>
      <w:r w:rsidRPr="004838DF">
        <w:rPr>
          <w:rFonts w:ascii="Arial" w:eastAsia="맑은 고딕" w:hAnsi="Arial" w:cs="Arial" w:hint="eastAsia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투여</w:t>
      </w:r>
      <w:r w:rsidRPr="004838DF">
        <w:rPr>
          <w:rFonts w:ascii="Arial" w:eastAsia="맑은 고딕" w:hAnsi="Arial" w:cs="Arial" w:hint="eastAsia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임부에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대한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시험은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행해지지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않았으므로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이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약을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임부에</w:t>
      </w:r>
      <w:r w:rsidRPr="004838DF">
        <w:rPr>
          <w:rFonts w:ascii="Arial" w:eastAsia="맑은 고딕" w:hAnsi="Arial" w:cs="Arial" w:hint="eastAsia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투여</w:t>
      </w:r>
      <w:r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시에는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모체나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태아에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대한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잠재적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유익성이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위험성을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상회한다고</w:t>
      </w:r>
      <w:r w:rsidRPr="004838DF">
        <w:rPr>
          <w:rFonts w:ascii="Arial" w:eastAsia="맑은 고딕" w:hAnsi="Arial" w:cs="Arial" w:hint="eastAsia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판단되는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경우에만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투여한다</w:t>
      </w:r>
      <w:r w:rsidRPr="005028D4">
        <w:rPr>
          <w:rFonts w:ascii="Arial" w:hAnsi="Arial" w:cs="Arial"/>
          <w:sz w:val="22"/>
          <w:szCs w:val="22"/>
          <w:lang w:eastAsia="ko-KR"/>
        </w:rPr>
        <w:t>.</w:t>
      </w:r>
      <w:r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2) </w:t>
      </w:r>
      <w:proofErr w:type="spellStart"/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수유부에</w:t>
      </w:r>
      <w:proofErr w:type="spellEnd"/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대한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투여</w:t>
      </w:r>
      <w:r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proofErr w:type="spellStart"/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콜레칼시페롤과</w:t>
      </w:r>
      <w:proofErr w:type="spellEnd"/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이</w:t>
      </w:r>
      <w:r w:rsidRPr="004838DF">
        <w:rPr>
          <w:rFonts w:ascii="Arial" w:eastAsia="맑은 고딕" w:hAnsi="Arial" w:cs="Arial" w:hint="eastAsia"/>
          <w:sz w:val="22"/>
          <w:szCs w:val="22"/>
          <w:lang w:eastAsia="ko-KR"/>
        </w:rPr>
        <w:t xml:space="preserve"> </w:t>
      </w:r>
      <w:proofErr w:type="spellStart"/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활성대사체는</w:t>
      </w:r>
      <w:proofErr w:type="spellEnd"/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모유로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이행된다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. </w:t>
      </w:r>
      <w:proofErr w:type="spellStart"/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알렌드로네이트가</w:t>
      </w:r>
      <w:proofErr w:type="spellEnd"/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모유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중으로</w:t>
      </w:r>
      <w:r w:rsidRPr="004838DF">
        <w:rPr>
          <w:rFonts w:ascii="Arial" w:eastAsia="맑은 고딕" w:hAnsi="Arial" w:cs="Arial" w:hint="eastAsia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이행되는지는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알려지지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않았다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.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많은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약물들이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모유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중으로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이행되므로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이</w:t>
      </w:r>
      <w:r w:rsidRPr="004838DF">
        <w:rPr>
          <w:rFonts w:ascii="Arial" w:eastAsia="맑은 고딕" w:hAnsi="Arial" w:cs="Arial" w:hint="eastAsia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약을</w:t>
      </w:r>
      <w:r w:rsidRPr="004838DF">
        <w:rPr>
          <w:rFonts w:ascii="Arial" w:eastAsia="맑은 고딕" w:hAnsi="Arial" w:cs="Arial" w:hint="eastAsia"/>
          <w:sz w:val="22"/>
          <w:szCs w:val="22"/>
          <w:lang w:eastAsia="ko-KR"/>
        </w:rPr>
        <w:t xml:space="preserve"> </w:t>
      </w:r>
      <w:proofErr w:type="spellStart"/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수유부에</w:t>
      </w:r>
      <w:proofErr w:type="spellEnd"/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투여할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경우에는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주의해야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한다</w:t>
      </w:r>
      <w:r w:rsidRPr="005028D4">
        <w:rPr>
          <w:rFonts w:ascii="Arial" w:hAnsi="Arial" w:cs="Arial"/>
          <w:sz w:val="22"/>
          <w:szCs w:val="22"/>
          <w:lang w:eastAsia="ko-KR"/>
        </w:rPr>
        <w:t>.</w:t>
      </w:r>
      <w:r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3)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소아에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대한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투여</w:t>
      </w:r>
      <w:r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이</w:t>
      </w:r>
      <w:r w:rsidRPr="004838DF">
        <w:rPr>
          <w:rFonts w:ascii="Arial" w:eastAsia="맑은 고딕" w:hAnsi="Arial" w:cs="Arial" w:hint="eastAsia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약은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어린이에게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적용되지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않는다</w:t>
      </w:r>
      <w:r w:rsidRPr="005028D4">
        <w:rPr>
          <w:rFonts w:ascii="Arial" w:hAnsi="Arial" w:cs="Arial"/>
          <w:sz w:val="22"/>
          <w:szCs w:val="22"/>
          <w:lang w:eastAsia="ko-KR"/>
        </w:rPr>
        <w:t>.</w:t>
      </w:r>
      <w:r>
        <w:rPr>
          <w:rFonts w:ascii="Arial" w:eastAsia="바탕" w:hAnsi="Arial" w:cs="Arial" w:hint="eastAsia"/>
          <w:sz w:val="22"/>
          <w:szCs w:val="22"/>
          <w:lang w:eastAsia="ko-KR"/>
        </w:rPr>
        <w:t xml:space="preserve"> 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4)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고령자에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대한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투여</w:t>
      </w:r>
    </w:p>
    <w:p w:rsidR="00D30D8B" w:rsidRPr="007270F0" w:rsidRDefault="007270F0" w:rsidP="007270F0">
      <w:pPr>
        <w:ind w:firstLineChars="0" w:firstLine="0"/>
        <w:jc w:val="both"/>
        <w:rPr>
          <w:rFonts w:ascii="Arial" w:eastAsiaTheme="minorEastAsia" w:hAnsi="Arial" w:cs="Arial" w:hint="eastAsia"/>
          <w:sz w:val="22"/>
          <w:szCs w:val="22"/>
          <w:lang w:eastAsia="ko-KR"/>
        </w:rPr>
      </w:pP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고령자에게</w:t>
      </w:r>
      <w:r w:rsidRPr="004838DF">
        <w:rPr>
          <w:rFonts w:ascii="Arial" w:eastAsia="맑은 고딕" w:hAnsi="Arial" w:cs="Arial" w:hint="eastAsia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용량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조절은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필요치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않다</w:t>
      </w:r>
      <w:r w:rsidRPr="005028D4">
        <w:rPr>
          <w:rFonts w:ascii="Arial" w:hAnsi="Arial" w:cs="Arial"/>
          <w:sz w:val="22"/>
          <w:szCs w:val="22"/>
          <w:lang w:eastAsia="ko-KR"/>
        </w:rPr>
        <w:t>.</w:t>
      </w:r>
      <w:r w:rsidRPr="004838DF">
        <w:rPr>
          <w:rFonts w:ascii="Arial" w:eastAsia="맑은 고딕" w:hAnsi="Arial" w:cs="Arial" w:hint="eastAsia"/>
          <w:sz w:val="22"/>
          <w:szCs w:val="22"/>
          <w:lang w:eastAsia="ko-KR"/>
        </w:rPr>
        <w:t xml:space="preserve"> 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5) </w:t>
      </w:r>
      <w:proofErr w:type="spellStart"/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신장애</w:t>
      </w:r>
      <w:proofErr w:type="spellEnd"/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환자에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대한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투여</w:t>
      </w:r>
      <w:r w:rsidRPr="004838DF">
        <w:rPr>
          <w:rFonts w:ascii="Arial" w:eastAsia="맑은 고딕" w:hAnsi="Arial" w:cs="Arial" w:hint="eastAsia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경증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내지</w:t>
      </w:r>
      <w:r w:rsidRPr="004838DF">
        <w:rPr>
          <w:rFonts w:ascii="Arial" w:eastAsia="맑은 고딕" w:hAnsi="Arial" w:cs="Arial" w:hint="eastAsia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중등도의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신부전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환자</w:t>
      </w:r>
      <w:r w:rsidRPr="005028D4">
        <w:rPr>
          <w:rFonts w:ascii="Arial" w:hAnsi="Arial" w:cs="Arial"/>
          <w:sz w:val="22"/>
          <w:szCs w:val="22"/>
          <w:lang w:eastAsia="ko-KR"/>
        </w:rPr>
        <w:t>(</w:t>
      </w:r>
      <w:proofErr w:type="spellStart"/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크레아티닌</w:t>
      </w:r>
      <w:proofErr w:type="spellEnd"/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proofErr w:type="spellStart"/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청소율이</w:t>
      </w:r>
      <w:proofErr w:type="spellEnd"/>
      <w:r w:rsidRPr="005028D4">
        <w:rPr>
          <w:rFonts w:ascii="Arial" w:hAnsi="Arial" w:cs="Arial"/>
          <w:sz w:val="22"/>
          <w:szCs w:val="22"/>
          <w:lang w:eastAsia="ko-KR"/>
        </w:rPr>
        <w:t xml:space="preserve"> 35</w:t>
      </w:r>
      <w:r w:rsidRPr="005028D4">
        <w:rPr>
          <w:rFonts w:ascii="Arial" w:hAnsi="Arial" w:cs="Arial" w:hint="eastAsia"/>
          <w:sz w:val="22"/>
          <w:szCs w:val="22"/>
          <w:lang w:eastAsia="ko-KR"/>
        </w:rPr>
        <w:t>∼</w:t>
      </w:r>
      <w:r w:rsidRPr="005028D4">
        <w:rPr>
          <w:rFonts w:ascii="Arial" w:hAnsi="Arial" w:cs="Arial"/>
          <w:sz w:val="22"/>
          <w:szCs w:val="22"/>
          <w:lang w:eastAsia="ko-KR"/>
        </w:rPr>
        <w:t>60 mL/min)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에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대해서는</w:t>
      </w:r>
      <w:r w:rsidRPr="004838DF">
        <w:rPr>
          <w:rFonts w:ascii="Arial" w:eastAsia="맑은 고딕" w:hAnsi="Arial" w:cs="Arial" w:hint="eastAsia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용량조절이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필요하지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않으나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,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중증의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신부전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환자</w:t>
      </w:r>
      <w:r w:rsidRPr="005028D4">
        <w:rPr>
          <w:rFonts w:ascii="Arial" w:hAnsi="Arial" w:cs="Arial"/>
          <w:sz w:val="22"/>
          <w:szCs w:val="22"/>
          <w:lang w:eastAsia="ko-KR"/>
        </w:rPr>
        <w:t>(</w:t>
      </w:r>
      <w:proofErr w:type="spellStart"/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크레아티닌</w:t>
      </w:r>
      <w:proofErr w:type="spellEnd"/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proofErr w:type="spellStart"/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청소율이</w:t>
      </w:r>
      <w:proofErr w:type="spellEnd"/>
      <w:r w:rsidRPr="005028D4">
        <w:rPr>
          <w:rFonts w:ascii="Arial" w:hAnsi="Arial" w:cs="Arial"/>
          <w:sz w:val="22"/>
          <w:szCs w:val="22"/>
          <w:lang w:eastAsia="ko-KR"/>
        </w:rPr>
        <w:t xml:space="preserve"> 35</w:t>
      </w:r>
      <w:r w:rsidRPr="004838DF">
        <w:rPr>
          <w:rFonts w:ascii="Arial" w:eastAsia="맑은 고딕" w:hAnsi="Arial" w:cs="Arial" w:hint="eastAsia"/>
          <w:sz w:val="22"/>
          <w:szCs w:val="22"/>
          <w:lang w:eastAsia="ko-KR"/>
        </w:rPr>
        <w:t xml:space="preserve"> </w:t>
      </w:r>
      <w:r w:rsidRPr="005028D4">
        <w:rPr>
          <w:rFonts w:ascii="Arial" w:hAnsi="Arial" w:cs="Arial"/>
          <w:sz w:val="22"/>
          <w:szCs w:val="22"/>
          <w:lang w:eastAsia="ko-KR"/>
        </w:rPr>
        <w:t>mL/min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미만</w:t>
      </w:r>
      <w:r w:rsidRPr="005028D4">
        <w:rPr>
          <w:rFonts w:ascii="Arial" w:hAnsi="Arial" w:cs="Arial"/>
          <w:sz w:val="22"/>
          <w:szCs w:val="22"/>
          <w:lang w:eastAsia="ko-KR"/>
        </w:rPr>
        <w:t>)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에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대해서는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충분한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임상경험이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없으므로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이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약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투여가</w:t>
      </w:r>
      <w:r w:rsidRPr="004838DF">
        <w:rPr>
          <w:rFonts w:ascii="Arial" w:eastAsia="맑은 고딕" w:hAnsi="Arial" w:cs="Arial" w:hint="eastAsia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권장되지</w:t>
      </w:r>
      <w:r w:rsidRPr="005028D4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5028D4">
        <w:rPr>
          <w:rFonts w:ascii="Arial" w:eastAsia="바탕" w:hAnsi="Arial" w:cs="Arial" w:hint="eastAsia"/>
          <w:sz w:val="22"/>
          <w:szCs w:val="22"/>
          <w:lang w:eastAsia="ko-KR"/>
        </w:rPr>
        <w:t>않는다</w:t>
      </w:r>
      <w:r w:rsidRPr="005028D4">
        <w:rPr>
          <w:rFonts w:ascii="Arial" w:hAnsi="Arial" w:cs="Arial"/>
          <w:sz w:val="22"/>
          <w:szCs w:val="22"/>
          <w:lang w:eastAsia="ko-KR"/>
        </w:rPr>
        <w:t>.</w:t>
      </w:r>
    </w:p>
    <w:p w:rsidR="007270F0" w:rsidRPr="007270F0" w:rsidRDefault="007270F0" w:rsidP="007270F0">
      <w:pPr>
        <w:ind w:firstLineChars="0" w:firstLine="0"/>
        <w:jc w:val="center"/>
        <w:rPr>
          <w:rFonts w:eastAsiaTheme="minorEastAsia" w:hint="eastAsia"/>
          <w:lang w:eastAsia="ko-KR"/>
        </w:rPr>
      </w:pPr>
      <w:r>
        <w:rPr>
          <w:rFonts w:eastAsiaTheme="minorEastAsia" w:hint="eastAsia"/>
          <w:lang w:eastAsia="ko-KR"/>
        </w:rPr>
        <w:t>###</w:t>
      </w:r>
    </w:p>
    <w:sectPr w:rsidR="007270F0" w:rsidRPr="007270F0" w:rsidSect="00E329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2240" w:h="15840"/>
      <w:pgMar w:top="1134" w:right="1440" w:bottom="1259" w:left="1440" w:header="720" w:footer="720" w:gutter="0"/>
      <w:pgNumType w:fmt="numberInDash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AF5" w:rsidRDefault="00642AF5" w:rsidP="007270F0">
      <w:pPr>
        <w:spacing w:line="240" w:lineRule="auto"/>
        <w:ind w:firstLine="305"/>
      </w:pPr>
      <w:r>
        <w:separator/>
      </w:r>
    </w:p>
  </w:endnote>
  <w:endnote w:type="continuationSeparator" w:id="0">
    <w:p w:rsidR="00642AF5" w:rsidRDefault="00642AF5" w:rsidP="007270F0">
      <w:pPr>
        <w:spacing w:line="240" w:lineRule="auto"/>
        <w:ind w:firstLine="305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0A03" w:rsidRDefault="00642AF5" w:rsidP="00DC19FF">
    <w:pPr>
      <w:pStyle w:val="a5"/>
      <w:ind w:firstLine="30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4AF3" w:rsidRPr="003F4CD0" w:rsidRDefault="00642AF5" w:rsidP="00E74AF3">
    <w:pPr>
      <w:spacing w:line="276" w:lineRule="auto"/>
      <w:ind w:firstLineChars="0" w:firstLine="0"/>
      <w:rPr>
        <w:rFonts w:ascii="Arial" w:eastAsia="바탕" w:hAnsi="Arial" w:cs="Arial"/>
        <w:sz w:val="20"/>
        <w:szCs w:val="20"/>
        <w:lang w:eastAsia="ko-KR"/>
      </w:rPr>
    </w:pPr>
    <w:r w:rsidRPr="00953B36">
      <w:rPr>
        <w:rFonts w:ascii="Arial" w:eastAsia="바탕" w:hAnsi="Arial" w:cs="Arial"/>
        <w:sz w:val="20"/>
        <w:szCs w:val="20"/>
        <w:lang w:eastAsia="ko-KR"/>
      </w:rPr>
      <w:t>OSTE-1172176-0030</w:t>
    </w:r>
    <w:r>
      <w:rPr>
        <w:rFonts w:ascii="Arial" w:eastAsia="바탕" w:hAnsi="Arial" w:cs="Arial" w:hint="eastAsia"/>
        <w:sz w:val="20"/>
        <w:szCs w:val="20"/>
        <w:lang w:eastAsia="ko-KR"/>
      </w:rPr>
      <w:t xml:space="preserve"> </w:t>
    </w:r>
    <w:r w:rsidRPr="003F4CD0">
      <w:rPr>
        <w:rFonts w:ascii="Arial" w:eastAsia="바탕" w:hAnsi="Arial" w:cs="Arial"/>
        <w:sz w:val="20"/>
        <w:szCs w:val="20"/>
        <w:lang w:eastAsia="ko-KR"/>
      </w:rPr>
      <w:t>09/2018</w:t>
    </w:r>
  </w:p>
  <w:p w:rsidR="00D80A03" w:rsidRPr="00E74AF3" w:rsidRDefault="00642AF5" w:rsidP="00E74AF3">
    <w:pPr>
      <w:spacing w:line="276" w:lineRule="auto"/>
      <w:ind w:firstLineChars="0" w:firstLine="0"/>
      <w:rPr>
        <w:rFonts w:ascii="Arial" w:eastAsia="바탕" w:hAnsi="Arial" w:cs="Arial" w:hint="eastAsia"/>
        <w:sz w:val="20"/>
        <w:szCs w:val="20"/>
        <w:lang w:eastAsia="ko-KR"/>
      </w:rPr>
    </w:pPr>
    <w:r w:rsidRPr="003F4CD0">
      <w:rPr>
        <w:rFonts w:ascii="Arial" w:eastAsia="바탕" w:hAnsi="Arial" w:cs="Arial"/>
        <w:sz w:val="20"/>
        <w:szCs w:val="20"/>
      </w:rPr>
      <w:t xml:space="preserve">Copyright </w:t>
    </w:r>
    <w:r w:rsidRPr="003F4CD0">
      <w:rPr>
        <w:rFonts w:ascii="굴림" w:eastAsia="굴림" w:hAnsi="굴림" w:cs="굴림" w:hint="eastAsia"/>
        <w:sz w:val="20"/>
        <w:szCs w:val="20"/>
      </w:rPr>
      <w:t>ⓒ</w:t>
    </w:r>
    <w:r w:rsidRPr="003F4CD0">
      <w:rPr>
        <w:rFonts w:ascii="Arial" w:eastAsia="바탕" w:hAnsi="Arial" w:cs="Arial"/>
        <w:sz w:val="20"/>
        <w:szCs w:val="20"/>
      </w:rPr>
      <w:t xml:space="preserve"> 2016 </w:t>
    </w:r>
    <w:r w:rsidRPr="003F4CD0">
      <w:rPr>
        <w:rFonts w:ascii="Arial" w:eastAsia="바탕" w:hAnsi="Arial" w:cs="Arial"/>
        <w:sz w:val="20"/>
        <w:szCs w:val="20"/>
      </w:rPr>
      <w:t>한국엠에스디</w:t>
    </w:r>
    <w:r w:rsidRPr="003F4CD0">
      <w:rPr>
        <w:rFonts w:ascii="Arial" w:eastAsia="바탕" w:hAnsi="Arial" w:cs="Arial"/>
        <w:sz w:val="20"/>
        <w:szCs w:val="20"/>
      </w:rPr>
      <w:t>(</w:t>
    </w:r>
    <w:r w:rsidRPr="003F4CD0">
      <w:rPr>
        <w:rFonts w:ascii="Arial" w:eastAsia="바탕" w:hAnsi="Arial" w:cs="Arial"/>
        <w:sz w:val="20"/>
        <w:szCs w:val="20"/>
      </w:rPr>
      <w:t>유</w:t>
    </w:r>
    <w:r w:rsidRPr="003F4CD0">
      <w:rPr>
        <w:rFonts w:ascii="Arial" w:eastAsia="바탕" w:hAnsi="Arial" w:cs="Arial"/>
        <w:sz w:val="20"/>
        <w:szCs w:val="20"/>
      </w:rPr>
      <w:t>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0A03" w:rsidRPr="003F4CD0" w:rsidRDefault="00642AF5" w:rsidP="00C7250D">
    <w:pPr>
      <w:spacing w:line="276" w:lineRule="auto"/>
      <w:ind w:firstLineChars="0" w:firstLine="0"/>
      <w:rPr>
        <w:rFonts w:ascii="Arial" w:eastAsia="바탕" w:hAnsi="Arial" w:cs="Arial"/>
        <w:sz w:val="20"/>
        <w:szCs w:val="20"/>
        <w:lang w:eastAsia="ko-KR"/>
      </w:rPr>
    </w:pPr>
    <w:r w:rsidRPr="00953B36">
      <w:rPr>
        <w:rFonts w:ascii="Arial" w:eastAsia="바탕" w:hAnsi="Arial" w:cs="Arial"/>
        <w:sz w:val="20"/>
        <w:szCs w:val="20"/>
        <w:lang w:eastAsia="ko-KR"/>
      </w:rPr>
      <w:t>OSTE-1172176-0030</w:t>
    </w:r>
    <w:r>
      <w:rPr>
        <w:rFonts w:ascii="Arial" w:eastAsia="바탕" w:hAnsi="Arial" w:cs="Arial" w:hint="eastAsia"/>
        <w:sz w:val="20"/>
        <w:szCs w:val="20"/>
        <w:lang w:eastAsia="ko-KR"/>
      </w:rPr>
      <w:t xml:space="preserve"> </w:t>
    </w:r>
    <w:r w:rsidRPr="003F4CD0">
      <w:rPr>
        <w:rFonts w:ascii="Arial" w:eastAsia="바탕" w:hAnsi="Arial" w:cs="Arial"/>
        <w:sz w:val="20"/>
        <w:szCs w:val="20"/>
        <w:lang w:eastAsia="ko-KR"/>
      </w:rPr>
      <w:t>09/2018</w:t>
    </w:r>
  </w:p>
  <w:p w:rsidR="00D80A03" w:rsidRPr="003F4CD0" w:rsidRDefault="00642AF5" w:rsidP="00C7250D">
    <w:pPr>
      <w:spacing w:line="276" w:lineRule="auto"/>
      <w:ind w:firstLineChars="0" w:firstLine="0"/>
      <w:rPr>
        <w:rFonts w:ascii="Arial" w:eastAsia="바탕" w:hAnsi="Arial" w:cs="Arial"/>
        <w:sz w:val="20"/>
        <w:szCs w:val="20"/>
      </w:rPr>
    </w:pPr>
    <w:r w:rsidRPr="003F4CD0">
      <w:rPr>
        <w:rFonts w:ascii="Arial" w:eastAsia="바탕" w:hAnsi="Arial" w:cs="Arial"/>
        <w:sz w:val="20"/>
        <w:szCs w:val="20"/>
      </w:rPr>
      <w:t xml:space="preserve">Copyright </w:t>
    </w:r>
    <w:r w:rsidRPr="003F4CD0">
      <w:rPr>
        <w:rFonts w:ascii="굴림" w:eastAsia="굴림" w:hAnsi="굴림" w:cs="굴림" w:hint="eastAsia"/>
        <w:sz w:val="20"/>
        <w:szCs w:val="20"/>
      </w:rPr>
      <w:t>ⓒ</w:t>
    </w:r>
    <w:r w:rsidRPr="003F4CD0">
      <w:rPr>
        <w:rFonts w:ascii="Arial" w:eastAsia="바탕" w:hAnsi="Arial" w:cs="Arial"/>
        <w:sz w:val="20"/>
        <w:szCs w:val="20"/>
      </w:rPr>
      <w:t xml:space="preserve"> 2016 </w:t>
    </w:r>
    <w:r w:rsidRPr="003F4CD0">
      <w:rPr>
        <w:rFonts w:ascii="Arial" w:eastAsia="바탕" w:hAnsi="Arial" w:cs="Arial"/>
        <w:sz w:val="20"/>
        <w:szCs w:val="20"/>
      </w:rPr>
      <w:t>한국엠에스디</w:t>
    </w:r>
    <w:r w:rsidRPr="003F4CD0">
      <w:rPr>
        <w:rFonts w:ascii="Arial" w:eastAsia="바탕" w:hAnsi="Arial" w:cs="Arial"/>
        <w:sz w:val="20"/>
        <w:szCs w:val="20"/>
      </w:rPr>
      <w:t>(</w:t>
    </w:r>
    <w:r w:rsidRPr="003F4CD0">
      <w:rPr>
        <w:rFonts w:ascii="Arial" w:eastAsia="바탕" w:hAnsi="Arial" w:cs="Arial"/>
        <w:sz w:val="20"/>
        <w:szCs w:val="20"/>
      </w:rPr>
      <w:t>유</w:t>
    </w:r>
    <w:r w:rsidRPr="003F4CD0">
      <w:rPr>
        <w:rFonts w:ascii="Arial" w:eastAsia="바탕" w:hAnsi="Arial" w:cs="Arial"/>
        <w:sz w:val="20"/>
        <w:szCs w:val="20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AF5" w:rsidRDefault="00642AF5" w:rsidP="007270F0">
      <w:pPr>
        <w:spacing w:line="240" w:lineRule="auto"/>
        <w:ind w:firstLine="305"/>
      </w:pPr>
      <w:r>
        <w:separator/>
      </w:r>
    </w:p>
  </w:footnote>
  <w:footnote w:type="continuationSeparator" w:id="0">
    <w:p w:rsidR="00642AF5" w:rsidRDefault="00642AF5" w:rsidP="007270F0">
      <w:pPr>
        <w:spacing w:line="240" w:lineRule="auto"/>
        <w:ind w:firstLine="305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0A03" w:rsidRDefault="00642AF5" w:rsidP="00285768">
    <w:pPr>
      <w:pStyle w:val="a3"/>
      <w:framePr w:wrap="around" w:vAnchor="text" w:hAnchor="margin" w:xAlign="center" w:y="1"/>
      <w:ind w:firstLine="305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DOCPROPERTY bjHeaderEvenPageDocProperty \* MERGEFORMAT </w:instrText>
    </w:r>
    <w:r>
      <w:rPr>
        <w:rStyle w:val="a4"/>
      </w:rPr>
      <w:fldChar w:fldCharType="separate"/>
    </w:r>
    <w:r w:rsidRPr="0076342B">
      <w:rPr>
        <w:rStyle w:val="a4"/>
        <w:b/>
        <w:color w:val="FFFFFF"/>
        <w:sz w:val="2"/>
      </w:rPr>
      <w:t xml:space="preserve"> </w:t>
    </w:r>
    <w:r>
      <w:rPr>
        <w:rStyle w:val="a4"/>
      </w:rPr>
      <w:fldChar w:fldCharType="end"/>
    </w: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80A03" w:rsidRDefault="00642AF5" w:rsidP="00285768">
    <w:pPr>
      <w:pStyle w:val="a3"/>
      <w:ind w:firstLine="30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768" w:rsidRDefault="00642AF5" w:rsidP="00953B36">
    <w:pPr>
      <w:pStyle w:val="a3"/>
      <w:framePr w:wrap="around" w:vAnchor="text" w:hAnchor="margin" w:xAlign="center" w:y="1"/>
      <w:ind w:firstLine="279"/>
      <w:rPr>
        <w:rStyle w:val="a4"/>
        <w:rFonts w:ascii="Arial" w:hAnsi="Arial" w:cs="Arial"/>
        <w:sz w:val="22"/>
        <w:szCs w:val="22"/>
      </w:rPr>
    </w:pPr>
    <w:r>
      <w:rPr>
        <w:rStyle w:val="a4"/>
        <w:rFonts w:ascii="Arial" w:hAnsi="Arial" w:cs="Arial"/>
        <w:sz w:val="22"/>
        <w:szCs w:val="22"/>
      </w:rPr>
      <w:fldChar w:fldCharType="begin"/>
    </w:r>
    <w:r>
      <w:rPr>
        <w:rStyle w:val="a4"/>
        <w:rFonts w:ascii="Arial" w:hAnsi="Arial" w:cs="Arial"/>
        <w:sz w:val="22"/>
        <w:szCs w:val="22"/>
      </w:rPr>
      <w:instrText xml:space="preserve"> DOCPROPERTY bjHeaderBothDocProperty \* MERGEFORMAT </w:instrText>
    </w:r>
    <w:r>
      <w:rPr>
        <w:rStyle w:val="a4"/>
        <w:rFonts w:ascii="Arial" w:hAnsi="Arial" w:cs="Arial"/>
        <w:sz w:val="22"/>
        <w:szCs w:val="22"/>
      </w:rPr>
      <w:fldChar w:fldCharType="separate"/>
    </w:r>
    <w:r w:rsidRPr="0076342B">
      <w:rPr>
        <w:rStyle w:val="a4"/>
        <w:b/>
        <w:color w:val="FFFFFF"/>
        <w:sz w:val="2"/>
        <w:szCs w:val="22"/>
      </w:rPr>
      <w:t xml:space="preserve"> </w:t>
    </w:r>
    <w:r>
      <w:rPr>
        <w:rStyle w:val="a4"/>
        <w:rFonts w:ascii="Arial" w:hAnsi="Arial" w:cs="Arial"/>
        <w:sz w:val="22"/>
        <w:szCs w:val="22"/>
      </w:rPr>
      <w:fldChar w:fldCharType="end"/>
    </w:r>
  </w:p>
  <w:p w:rsidR="00D80A03" w:rsidRDefault="00642AF5" w:rsidP="00953B36">
    <w:pPr>
      <w:pStyle w:val="a3"/>
      <w:ind w:firstLine="30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0A03" w:rsidRDefault="00642AF5" w:rsidP="00DC19FF">
    <w:pPr>
      <w:pStyle w:val="a3"/>
      <w:ind w:firstLine="305"/>
    </w:pPr>
    <w:r>
      <w:rPr>
        <w:rFonts w:eastAsia="바탕"/>
        <w:noProof/>
        <w:lang w:eastAsia="en-US"/>
      </w:rPr>
      <w:fldChar w:fldCharType="begin"/>
    </w:r>
    <w:r>
      <w:rPr>
        <w:rFonts w:eastAsia="바탕"/>
        <w:noProof/>
        <w:lang w:eastAsia="en-US"/>
      </w:rPr>
      <w:instrText xml:space="preserve"> DOCPROPERTY bjHeaderFirstPageDocProperty \* MERGEFORMAT </w:instrText>
    </w:r>
    <w:r>
      <w:rPr>
        <w:rFonts w:eastAsia="바탕"/>
        <w:noProof/>
        <w:lang w:eastAsia="en-US"/>
      </w:rPr>
      <w:fldChar w:fldCharType="separate"/>
    </w:r>
    <w:r w:rsidRPr="0076342B">
      <w:rPr>
        <w:rFonts w:eastAsia="바탕"/>
        <w:b/>
        <w:noProof/>
        <w:color w:val="FFFFFF"/>
        <w:sz w:val="2"/>
        <w:lang w:eastAsia="en-US"/>
      </w:rPr>
      <w:t xml:space="preserve"> </w:t>
    </w:r>
    <w:r>
      <w:rPr>
        <w:rFonts w:eastAsia="바탕"/>
        <w:noProof/>
        <w:lang w:eastAsia="en-US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0F0"/>
    <w:rsid w:val="00642AF5"/>
    <w:rsid w:val="007270F0"/>
    <w:rsid w:val="00D30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0F0"/>
    <w:pPr>
      <w:spacing w:after="0" w:line="360" w:lineRule="auto"/>
      <w:ind w:firstLineChars="127" w:firstLine="127"/>
      <w:jc w:val="left"/>
    </w:pPr>
    <w:rPr>
      <w:rFonts w:ascii="Times New Roman" w:eastAsia="MS Mincho" w:hAnsi="Times New Roman" w:cs="Times New Roman"/>
      <w:kern w:val="0"/>
      <w:sz w:val="24"/>
      <w:szCs w:val="24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7270F0"/>
    <w:pPr>
      <w:tabs>
        <w:tab w:val="center" w:pos="4320"/>
        <w:tab w:val="right" w:pos="8640"/>
      </w:tabs>
    </w:pPr>
  </w:style>
  <w:style w:type="character" w:customStyle="1" w:styleId="Char">
    <w:name w:val="머리글 Char"/>
    <w:basedOn w:val="a0"/>
    <w:link w:val="a3"/>
    <w:rsid w:val="007270F0"/>
    <w:rPr>
      <w:rFonts w:ascii="Times New Roman" w:eastAsia="MS Mincho" w:hAnsi="Times New Roman" w:cs="Times New Roman"/>
      <w:kern w:val="0"/>
      <w:sz w:val="24"/>
      <w:szCs w:val="24"/>
      <w:lang w:eastAsia="ja-JP"/>
    </w:rPr>
  </w:style>
  <w:style w:type="character" w:styleId="a4">
    <w:name w:val="page number"/>
    <w:basedOn w:val="a0"/>
    <w:rsid w:val="007270F0"/>
  </w:style>
  <w:style w:type="paragraph" w:styleId="a5">
    <w:name w:val="footer"/>
    <w:basedOn w:val="a"/>
    <w:link w:val="Char0"/>
    <w:rsid w:val="007270F0"/>
    <w:pPr>
      <w:tabs>
        <w:tab w:val="center" w:pos="4320"/>
        <w:tab w:val="right" w:pos="8640"/>
      </w:tabs>
    </w:pPr>
  </w:style>
  <w:style w:type="character" w:customStyle="1" w:styleId="Char0">
    <w:name w:val="바닥글 Char"/>
    <w:basedOn w:val="a0"/>
    <w:link w:val="a5"/>
    <w:rsid w:val="007270F0"/>
    <w:rPr>
      <w:rFonts w:ascii="Times New Roman" w:eastAsia="MS Mincho" w:hAnsi="Times New Roman" w:cs="Times New Roman"/>
      <w:kern w:val="0"/>
      <w:sz w:val="24"/>
      <w:szCs w:val="24"/>
      <w:lang w:eastAsia="ja-JP"/>
    </w:rPr>
  </w:style>
  <w:style w:type="paragraph" w:styleId="a6">
    <w:name w:val="Balloon Text"/>
    <w:basedOn w:val="a"/>
    <w:link w:val="Char1"/>
    <w:uiPriority w:val="99"/>
    <w:semiHidden/>
    <w:unhideWhenUsed/>
    <w:rsid w:val="007270F0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7270F0"/>
    <w:rPr>
      <w:rFonts w:asciiTheme="majorHAnsi" w:eastAsiaTheme="majorEastAsia" w:hAnsiTheme="majorHAnsi" w:cstheme="majorBidi"/>
      <w:kern w:val="0"/>
      <w:sz w:val="18"/>
      <w:szCs w:val="18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0F0"/>
    <w:pPr>
      <w:spacing w:after="0" w:line="360" w:lineRule="auto"/>
      <w:ind w:firstLineChars="127" w:firstLine="127"/>
      <w:jc w:val="left"/>
    </w:pPr>
    <w:rPr>
      <w:rFonts w:ascii="Times New Roman" w:eastAsia="MS Mincho" w:hAnsi="Times New Roman" w:cs="Times New Roman"/>
      <w:kern w:val="0"/>
      <w:sz w:val="24"/>
      <w:szCs w:val="24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7270F0"/>
    <w:pPr>
      <w:tabs>
        <w:tab w:val="center" w:pos="4320"/>
        <w:tab w:val="right" w:pos="8640"/>
      </w:tabs>
    </w:pPr>
  </w:style>
  <w:style w:type="character" w:customStyle="1" w:styleId="Char">
    <w:name w:val="머리글 Char"/>
    <w:basedOn w:val="a0"/>
    <w:link w:val="a3"/>
    <w:rsid w:val="007270F0"/>
    <w:rPr>
      <w:rFonts w:ascii="Times New Roman" w:eastAsia="MS Mincho" w:hAnsi="Times New Roman" w:cs="Times New Roman"/>
      <w:kern w:val="0"/>
      <w:sz w:val="24"/>
      <w:szCs w:val="24"/>
      <w:lang w:eastAsia="ja-JP"/>
    </w:rPr>
  </w:style>
  <w:style w:type="character" w:styleId="a4">
    <w:name w:val="page number"/>
    <w:basedOn w:val="a0"/>
    <w:rsid w:val="007270F0"/>
  </w:style>
  <w:style w:type="paragraph" w:styleId="a5">
    <w:name w:val="footer"/>
    <w:basedOn w:val="a"/>
    <w:link w:val="Char0"/>
    <w:rsid w:val="007270F0"/>
    <w:pPr>
      <w:tabs>
        <w:tab w:val="center" w:pos="4320"/>
        <w:tab w:val="right" w:pos="8640"/>
      </w:tabs>
    </w:pPr>
  </w:style>
  <w:style w:type="character" w:customStyle="1" w:styleId="Char0">
    <w:name w:val="바닥글 Char"/>
    <w:basedOn w:val="a0"/>
    <w:link w:val="a5"/>
    <w:rsid w:val="007270F0"/>
    <w:rPr>
      <w:rFonts w:ascii="Times New Roman" w:eastAsia="MS Mincho" w:hAnsi="Times New Roman" w:cs="Times New Roman"/>
      <w:kern w:val="0"/>
      <w:sz w:val="24"/>
      <w:szCs w:val="24"/>
      <w:lang w:eastAsia="ja-JP"/>
    </w:rPr>
  </w:style>
  <w:style w:type="paragraph" w:styleId="a6">
    <w:name w:val="Balloon Text"/>
    <w:basedOn w:val="a"/>
    <w:link w:val="Char1"/>
    <w:uiPriority w:val="99"/>
    <w:semiHidden/>
    <w:unhideWhenUsed/>
    <w:rsid w:val="007270F0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7270F0"/>
    <w:rPr>
      <w:rFonts w:asciiTheme="majorHAnsi" w:eastAsiaTheme="majorEastAsia" w:hAnsiTheme="majorHAnsi" w:cstheme="majorBidi"/>
      <w:kern w:val="0"/>
      <w:sz w:val="18"/>
      <w:szCs w:val="18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정명화</dc:creator>
  <cp:lastModifiedBy>정명화</cp:lastModifiedBy>
  <cp:revision>1</cp:revision>
  <dcterms:created xsi:type="dcterms:W3CDTF">2016-09-19T02:15:00Z</dcterms:created>
  <dcterms:modified xsi:type="dcterms:W3CDTF">2016-09-19T02:17:00Z</dcterms:modified>
</cp:coreProperties>
</file>